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EE" w:rsidRPr="00E560BB" w:rsidRDefault="004F5AEE" w:rsidP="004F5AEE">
      <w:pPr>
        <w:spacing w:after="120"/>
        <w:rPr>
          <w:rFonts w:ascii="Arial" w:hAnsi="Arial" w:cs="Arial"/>
          <w:b/>
          <w:color w:val="1F497D"/>
          <w:sz w:val="28"/>
          <w:szCs w:val="20"/>
        </w:rPr>
      </w:pPr>
      <w:r w:rsidRPr="00E560BB">
        <w:rPr>
          <w:rFonts w:ascii="Arial" w:hAnsi="Arial" w:cs="Arial"/>
          <w:b/>
          <w:color w:val="1F497D"/>
          <w:sz w:val="28"/>
          <w:szCs w:val="20"/>
        </w:rPr>
        <w:t>МЕТОДОЛОГИЯ СОСТАВЛЕНИЯ РЭНКИНГА БАНКОВСКИХ ГРУПП</w:t>
      </w:r>
    </w:p>
    <w:p w:rsidR="004F5AEE" w:rsidRPr="004840FA" w:rsidRDefault="004F5AEE" w:rsidP="004F5AEE">
      <w:pPr>
        <w:spacing w:after="120"/>
        <w:ind w:left="3402" w:firstLine="540"/>
        <w:jc w:val="both"/>
        <w:rPr>
          <w:rFonts w:ascii="Arial" w:hAnsi="Arial" w:cs="Arial"/>
          <w:szCs w:val="20"/>
        </w:rPr>
      </w:pPr>
      <w:r>
        <w:rPr>
          <w:rFonts w:ascii="Arial" w:hAnsi="Arial" w:cs="Arial"/>
          <w:noProof/>
          <w:szCs w:val="20"/>
        </w:rPr>
        <mc:AlternateContent>
          <mc:Choice Requires="wps">
            <w:drawing>
              <wp:anchor distT="0" distB="0" distL="114300" distR="114300" simplePos="0" relativeHeight="251662336" behindDoc="0" locked="0" layoutInCell="1" allowOverlap="1">
                <wp:simplePos x="0" y="0"/>
                <wp:positionH relativeFrom="column">
                  <wp:posOffset>-397510</wp:posOffset>
                </wp:positionH>
                <wp:positionV relativeFrom="paragraph">
                  <wp:posOffset>600075</wp:posOffset>
                </wp:positionV>
                <wp:extent cx="2357120" cy="1561465"/>
                <wp:effectExtent l="0" t="0" r="24130" b="203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561465"/>
                        </a:xfrm>
                        <a:prstGeom prst="rect">
                          <a:avLst/>
                        </a:prstGeom>
                        <a:solidFill>
                          <a:srgbClr val="FFFFFF"/>
                        </a:solidFill>
                        <a:ln w="9525">
                          <a:solidFill>
                            <a:srgbClr val="FFFFFF"/>
                          </a:solidFill>
                          <a:miter lim="800000"/>
                          <a:headEnd/>
                          <a:tailEnd/>
                        </a:ln>
                      </wps:spPr>
                      <wps:txbx>
                        <w:txbxContent>
                          <w:p w:rsidR="004F5AEE" w:rsidRPr="00A33A29" w:rsidRDefault="004F5AEE" w:rsidP="004F5AEE">
                            <w:pPr>
                              <w:rPr>
                                <w:rFonts w:ascii="Arial" w:hAnsi="Arial" w:cs="Arial"/>
                                <w:b/>
                                <w:i/>
                                <w:color w:val="1F497D"/>
                                <w:sz w:val="20"/>
                                <w:szCs w:val="20"/>
                              </w:rPr>
                            </w:pPr>
                            <w:r>
                              <w:rPr>
                                <w:rFonts w:ascii="Arial" w:hAnsi="Arial" w:cs="Arial"/>
                                <w:b/>
                                <w:i/>
                                <w:color w:val="1F497D"/>
                                <w:sz w:val="20"/>
                                <w:szCs w:val="20"/>
                              </w:rPr>
                              <w:t>Б</w:t>
                            </w:r>
                            <w:r w:rsidRPr="004840FA">
                              <w:rPr>
                                <w:rFonts w:ascii="Arial" w:hAnsi="Arial" w:cs="Arial"/>
                                <w:b/>
                                <w:i/>
                                <w:color w:val="1F497D"/>
                                <w:sz w:val="20"/>
                                <w:szCs w:val="20"/>
                              </w:rPr>
                              <w:t>анковской группой признается не являющееся юридическим лицом объединение кредитных организаций, в котором одна кредитная организация оказывает прямо или косвенно существенное влияние на решения, принимаемые органами управления других кредитных организаций</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1.3pt;margin-top:47.25pt;width:185.6pt;height:122.9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" strokecolor="white">
                <v:textbox style="mso-fit-shape-to-text:t">
                  <w:txbxContent>
                    <w:p w:rsidR="004F5AEE" w:rsidRPr="00A33A29" w:rsidRDefault="004F5AEE" w:rsidP="004F5AEE">
                      <w:pPr>
                        <w:rPr>
                          <w:rFonts w:ascii="Arial" w:hAnsi="Arial" w:cs="Arial"/>
                          <w:b/>
                          <w:i/>
                          <w:color w:val="1F497D"/>
                          <w:sz w:val="20"/>
                          <w:szCs w:val="20"/>
                        </w:rPr>
                      </w:pPr>
                      <w:r>
                        <w:rPr>
                          <w:rFonts w:ascii="Arial" w:hAnsi="Arial" w:cs="Arial"/>
                          <w:b/>
                          <w:i/>
                          <w:color w:val="1F497D"/>
                          <w:sz w:val="20"/>
                          <w:szCs w:val="20"/>
                        </w:rPr>
                        <w:t>Б</w:t>
                      </w:r>
                      <w:r w:rsidRPr="004840FA">
                        <w:rPr>
                          <w:rFonts w:ascii="Arial" w:hAnsi="Arial" w:cs="Arial"/>
                          <w:b/>
                          <w:i/>
                          <w:color w:val="1F497D"/>
                          <w:sz w:val="20"/>
                          <w:szCs w:val="20"/>
                        </w:rPr>
                        <w:t>анковской группой признается не являющееся юридическим лицом объединение кредитных организаций, в котором одна кредитная организация оказывает прямо или косвенно существенное влияние на решения, принимаемые органами управления других кредитных организаций</w:t>
                      </w:r>
                    </w:p>
                  </w:txbxContent>
                </v:textbox>
              </v:shape>
            </w:pict>
          </mc:Fallback>
        </mc:AlternateContent>
      </w:r>
      <w:r w:rsidRPr="004840FA">
        <w:rPr>
          <w:rFonts w:ascii="Arial" w:hAnsi="Arial" w:cs="Arial"/>
          <w:szCs w:val="20"/>
        </w:rPr>
        <w:t xml:space="preserve">В соответствии с Федеральным законом "О банках и банковской деятельности" банковской группой признается не являющееся юридическим лицом объединение кредитных организаций, в котором одна (головная) кредитная организация оказывает прямо или косвенно (через третье лицо) существенное влияние на решения, принимаемые органами управления другой (других) кредитной организации (кредитных организаций). </w:t>
      </w:r>
    </w:p>
    <w:p w:rsidR="004F5AEE" w:rsidRPr="004840FA" w:rsidRDefault="004F5AEE" w:rsidP="004F5AEE">
      <w:pPr>
        <w:spacing w:after="120"/>
        <w:ind w:left="3402" w:firstLine="540"/>
        <w:jc w:val="both"/>
        <w:rPr>
          <w:rFonts w:ascii="Arial" w:hAnsi="Arial" w:cs="Arial"/>
          <w:szCs w:val="20"/>
        </w:rPr>
      </w:pPr>
      <w:r w:rsidRPr="004840FA">
        <w:rPr>
          <w:rFonts w:ascii="Arial" w:hAnsi="Arial" w:cs="Arial"/>
          <w:szCs w:val="20"/>
        </w:rPr>
        <w:t>Банковским холдингом признается не являющееся юридическим лицом объединение юридических лиц с участием кредитной организации (кредитных организаций),</w:t>
      </w:r>
      <w:bookmarkStart w:id="0" w:name="_GoBack"/>
      <w:bookmarkEnd w:id="0"/>
      <w:r w:rsidRPr="004840FA">
        <w:rPr>
          <w:rFonts w:ascii="Arial" w:hAnsi="Arial" w:cs="Arial"/>
          <w:szCs w:val="20"/>
        </w:rPr>
        <w:t xml:space="preserve"> в котором юридическое лицо, не являющееся кредитной организацией (головная организация банковского холдинга), имеет возможность прямо или косвенно (через третье лицо) оказывать существенное влияние на решения, принимаемые органами управления кредитной организации (кредитных организаций). </w:t>
      </w:r>
    </w:p>
    <w:p w:rsidR="004F5AEE" w:rsidRPr="004840FA" w:rsidRDefault="004F5AEE" w:rsidP="004F5AEE">
      <w:pPr>
        <w:spacing w:after="120"/>
        <w:ind w:left="3402" w:firstLine="540"/>
        <w:jc w:val="both"/>
        <w:rPr>
          <w:rFonts w:ascii="Arial" w:hAnsi="Arial" w:cs="Arial"/>
          <w:szCs w:val="20"/>
        </w:rPr>
      </w:pPr>
      <w:r w:rsidRPr="004840FA">
        <w:rPr>
          <w:rFonts w:ascii="Arial" w:hAnsi="Arial" w:cs="Arial"/>
          <w:szCs w:val="20"/>
        </w:rPr>
        <w:t xml:space="preserve">Кроме того, в соответствии с мировой практикой Положением Банка России N 191-П "О консолидированной отчетности" введено понятие «консолидированная группа». Консолидированной группой признается не являющееся юридическим лицом объединение юридических лиц, в котором одна (головная) кредитная организация оказывает прямо или косвенно (через третье лицо) существенное влияние на решения, принимаемые органами управления другого (других) юридического лица (юридических лиц) - </w:t>
      </w:r>
      <w:proofErr w:type="spellStart"/>
      <w:r w:rsidRPr="004840FA">
        <w:rPr>
          <w:rFonts w:ascii="Arial" w:hAnsi="Arial" w:cs="Arial"/>
          <w:szCs w:val="20"/>
        </w:rPr>
        <w:t>некредитной</w:t>
      </w:r>
      <w:proofErr w:type="spellEnd"/>
      <w:r w:rsidRPr="004840FA">
        <w:rPr>
          <w:rFonts w:ascii="Arial" w:hAnsi="Arial" w:cs="Arial"/>
          <w:szCs w:val="20"/>
        </w:rPr>
        <w:t xml:space="preserve"> организации (</w:t>
      </w:r>
      <w:proofErr w:type="spellStart"/>
      <w:r w:rsidRPr="004840FA">
        <w:rPr>
          <w:rFonts w:ascii="Arial" w:hAnsi="Arial" w:cs="Arial"/>
          <w:szCs w:val="20"/>
        </w:rPr>
        <w:t>некредитных</w:t>
      </w:r>
      <w:proofErr w:type="spellEnd"/>
      <w:r w:rsidRPr="004840FA">
        <w:rPr>
          <w:rFonts w:ascii="Arial" w:hAnsi="Arial" w:cs="Arial"/>
          <w:szCs w:val="20"/>
        </w:rPr>
        <w:t xml:space="preserve"> организаций). </w:t>
      </w:r>
    </w:p>
    <w:p w:rsidR="004F5AEE" w:rsidRPr="006E30FE" w:rsidRDefault="004F5AEE" w:rsidP="004F5AEE">
      <w:pPr>
        <w:spacing w:after="120"/>
        <w:ind w:left="3402" w:firstLine="540"/>
        <w:jc w:val="both"/>
        <w:rPr>
          <w:rFonts w:ascii="Arial" w:hAnsi="Arial" w:cs="Arial"/>
          <w:szCs w:val="20"/>
        </w:rPr>
      </w:pPr>
      <w:r>
        <w:rPr>
          <w:rFonts w:ascii="Arial" w:hAnsi="Arial" w:cs="Arial"/>
          <w:noProof/>
          <w:szCs w:val="20"/>
        </w:rPr>
        <mc:AlternateContent>
          <mc:Choice Requires="wps">
            <w:drawing>
              <wp:anchor distT="0" distB="0" distL="114300" distR="114300" simplePos="0" relativeHeight="251661312" behindDoc="0" locked="0" layoutInCell="1" allowOverlap="1">
                <wp:simplePos x="0" y="0"/>
                <wp:positionH relativeFrom="column">
                  <wp:posOffset>-411480</wp:posOffset>
                </wp:positionH>
                <wp:positionV relativeFrom="paragraph">
                  <wp:posOffset>-382905</wp:posOffset>
                </wp:positionV>
                <wp:extent cx="2352675" cy="977265"/>
                <wp:effectExtent l="0" t="0" r="24130" b="139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977265"/>
                        </a:xfrm>
                        <a:prstGeom prst="rect">
                          <a:avLst/>
                        </a:prstGeom>
                        <a:solidFill>
                          <a:srgbClr val="FFFFFF"/>
                        </a:solidFill>
                        <a:ln w="9525">
                          <a:solidFill>
                            <a:srgbClr val="FFFFFF"/>
                          </a:solidFill>
                          <a:miter lim="800000"/>
                          <a:headEnd/>
                          <a:tailEnd/>
                        </a:ln>
                      </wps:spPr>
                      <wps:txbx>
                        <w:txbxContent>
                          <w:p w:rsidR="004F5AEE" w:rsidRPr="00A33A29" w:rsidRDefault="004F5AEE" w:rsidP="004F5AEE">
                            <w:pPr>
                              <w:rPr>
                                <w:rFonts w:ascii="Arial" w:hAnsi="Arial" w:cs="Arial"/>
                                <w:b/>
                                <w:i/>
                                <w:color w:val="1F497D"/>
                                <w:sz w:val="20"/>
                                <w:szCs w:val="20"/>
                              </w:rPr>
                            </w:pPr>
                            <w:r w:rsidRPr="004840FA">
                              <w:rPr>
                                <w:rFonts w:ascii="Arial" w:hAnsi="Arial" w:cs="Arial"/>
                                <w:b/>
                                <w:i/>
                                <w:color w:val="1F497D"/>
                                <w:sz w:val="20"/>
                                <w:szCs w:val="20"/>
                              </w:rPr>
                              <w:t xml:space="preserve">В </w:t>
                            </w:r>
                            <w:proofErr w:type="gramStart"/>
                            <w:r w:rsidRPr="004840FA">
                              <w:rPr>
                                <w:rFonts w:ascii="Arial" w:hAnsi="Arial" w:cs="Arial"/>
                                <w:b/>
                                <w:i/>
                                <w:color w:val="1F497D"/>
                                <w:sz w:val="20"/>
                                <w:szCs w:val="20"/>
                              </w:rPr>
                              <w:t>представленном</w:t>
                            </w:r>
                            <w:proofErr w:type="gramEnd"/>
                            <w:r w:rsidRPr="004840FA">
                              <w:rPr>
                                <w:rFonts w:ascii="Arial" w:hAnsi="Arial" w:cs="Arial"/>
                                <w:b/>
                                <w:i/>
                                <w:color w:val="1F497D"/>
                                <w:sz w:val="20"/>
                                <w:szCs w:val="20"/>
                              </w:rPr>
                              <w:t xml:space="preserve"> </w:t>
                            </w:r>
                            <w:proofErr w:type="spellStart"/>
                            <w:r w:rsidRPr="004840FA">
                              <w:rPr>
                                <w:rFonts w:ascii="Arial" w:hAnsi="Arial" w:cs="Arial"/>
                                <w:b/>
                                <w:i/>
                                <w:color w:val="1F497D"/>
                                <w:sz w:val="20"/>
                                <w:szCs w:val="20"/>
                              </w:rPr>
                              <w:t>рэнкинге</w:t>
                            </w:r>
                            <w:proofErr w:type="spellEnd"/>
                            <w:r w:rsidRPr="004840FA">
                              <w:rPr>
                                <w:rFonts w:ascii="Arial" w:hAnsi="Arial" w:cs="Arial"/>
                                <w:b/>
                                <w:i/>
                                <w:color w:val="1F497D"/>
                                <w:sz w:val="20"/>
                                <w:szCs w:val="20"/>
                              </w:rPr>
                              <w:t xml:space="preserve"> участвуют 1</w:t>
                            </w:r>
                            <w:r>
                              <w:rPr>
                                <w:rFonts w:ascii="Arial" w:hAnsi="Arial" w:cs="Arial"/>
                                <w:b/>
                                <w:i/>
                                <w:color w:val="1F497D"/>
                                <w:sz w:val="20"/>
                                <w:szCs w:val="20"/>
                              </w:rPr>
                              <w:t>2</w:t>
                            </w:r>
                            <w:r w:rsidRPr="004840FA">
                              <w:rPr>
                                <w:rFonts w:ascii="Arial" w:hAnsi="Arial" w:cs="Arial"/>
                                <w:b/>
                                <w:i/>
                                <w:color w:val="1F497D"/>
                                <w:sz w:val="20"/>
                                <w:szCs w:val="20"/>
                              </w:rPr>
                              <w:t xml:space="preserve"> банковских груп</w:t>
                            </w:r>
                            <w:r>
                              <w:rPr>
                                <w:rFonts w:ascii="Arial" w:hAnsi="Arial" w:cs="Arial"/>
                                <w:b/>
                                <w:i/>
                                <w:color w:val="1F497D"/>
                                <w:sz w:val="20"/>
                                <w:szCs w:val="20"/>
                              </w:rPr>
                              <w:t>п, головными банками десяти</w:t>
                            </w:r>
                            <w:r w:rsidRPr="004840FA">
                              <w:rPr>
                                <w:rFonts w:ascii="Arial" w:hAnsi="Arial" w:cs="Arial"/>
                                <w:b/>
                                <w:i/>
                                <w:color w:val="1F497D"/>
                                <w:sz w:val="20"/>
                                <w:szCs w:val="20"/>
                              </w:rPr>
                              <w:t xml:space="preserve"> из них являются банки, входящие в ТОП50 российских банков</w:t>
                            </w:r>
                            <w:r w:rsidRPr="00A33A29" w:rsidDel="005C4673">
                              <w:rPr>
                                <w:rFonts w:ascii="Arial" w:hAnsi="Arial" w:cs="Arial"/>
                                <w:b/>
                                <w:i/>
                                <w:color w:val="1F497D"/>
                                <w:sz w:val="20"/>
                                <w:szCs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Поле 2" o:spid="_x0000_s1027" type="#_x0000_t202" style="position:absolute;left:0;text-align:left;margin-left:-32.4pt;margin-top:-30.15pt;width:185.25pt;height:76.9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" strokecolor="white">
                <v:textbox style="mso-fit-shape-to-text:t">
                  <w:txbxContent>
                    <w:p w:rsidR="004F5AEE" w:rsidRPr="00A33A29" w:rsidRDefault="004F5AEE" w:rsidP="004F5AEE">
                      <w:pPr>
                        <w:rPr>
                          <w:rFonts w:ascii="Arial" w:hAnsi="Arial" w:cs="Arial"/>
                          <w:b/>
                          <w:i/>
                          <w:color w:val="1F497D"/>
                          <w:sz w:val="20"/>
                          <w:szCs w:val="20"/>
                        </w:rPr>
                      </w:pPr>
                      <w:r w:rsidRPr="004840FA">
                        <w:rPr>
                          <w:rFonts w:ascii="Arial" w:hAnsi="Arial" w:cs="Arial"/>
                          <w:b/>
                          <w:i/>
                          <w:color w:val="1F497D"/>
                          <w:sz w:val="20"/>
                          <w:szCs w:val="20"/>
                        </w:rPr>
                        <w:t xml:space="preserve">В </w:t>
                      </w:r>
                      <w:proofErr w:type="gramStart"/>
                      <w:r w:rsidRPr="004840FA">
                        <w:rPr>
                          <w:rFonts w:ascii="Arial" w:hAnsi="Arial" w:cs="Arial"/>
                          <w:b/>
                          <w:i/>
                          <w:color w:val="1F497D"/>
                          <w:sz w:val="20"/>
                          <w:szCs w:val="20"/>
                        </w:rPr>
                        <w:t>представленном</w:t>
                      </w:r>
                      <w:proofErr w:type="gramEnd"/>
                      <w:r w:rsidRPr="004840FA">
                        <w:rPr>
                          <w:rFonts w:ascii="Arial" w:hAnsi="Arial" w:cs="Arial"/>
                          <w:b/>
                          <w:i/>
                          <w:color w:val="1F497D"/>
                          <w:sz w:val="20"/>
                          <w:szCs w:val="20"/>
                        </w:rPr>
                        <w:t xml:space="preserve"> </w:t>
                      </w:r>
                      <w:proofErr w:type="spellStart"/>
                      <w:r w:rsidRPr="004840FA">
                        <w:rPr>
                          <w:rFonts w:ascii="Arial" w:hAnsi="Arial" w:cs="Arial"/>
                          <w:b/>
                          <w:i/>
                          <w:color w:val="1F497D"/>
                          <w:sz w:val="20"/>
                          <w:szCs w:val="20"/>
                        </w:rPr>
                        <w:t>рэнкинге</w:t>
                      </w:r>
                      <w:proofErr w:type="spellEnd"/>
                      <w:r w:rsidRPr="004840FA">
                        <w:rPr>
                          <w:rFonts w:ascii="Arial" w:hAnsi="Arial" w:cs="Arial"/>
                          <w:b/>
                          <w:i/>
                          <w:color w:val="1F497D"/>
                          <w:sz w:val="20"/>
                          <w:szCs w:val="20"/>
                        </w:rPr>
                        <w:t xml:space="preserve"> участвуют 1</w:t>
                      </w:r>
                      <w:r>
                        <w:rPr>
                          <w:rFonts w:ascii="Arial" w:hAnsi="Arial" w:cs="Arial"/>
                          <w:b/>
                          <w:i/>
                          <w:color w:val="1F497D"/>
                          <w:sz w:val="20"/>
                          <w:szCs w:val="20"/>
                        </w:rPr>
                        <w:t>2</w:t>
                      </w:r>
                      <w:r w:rsidRPr="004840FA">
                        <w:rPr>
                          <w:rFonts w:ascii="Arial" w:hAnsi="Arial" w:cs="Arial"/>
                          <w:b/>
                          <w:i/>
                          <w:color w:val="1F497D"/>
                          <w:sz w:val="20"/>
                          <w:szCs w:val="20"/>
                        </w:rPr>
                        <w:t xml:space="preserve"> банковских груп</w:t>
                      </w:r>
                      <w:r>
                        <w:rPr>
                          <w:rFonts w:ascii="Arial" w:hAnsi="Arial" w:cs="Arial"/>
                          <w:b/>
                          <w:i/>
                          <w:color w:val="1F497D"/>
                          <w:sz w:val="20"/>
                          <w:szCs w:val="20"/>
                        </w:rPr>
                        <w:t>п, головными банками десяти</w:t>
                      </w:r>
                      <w:r w:rsidRPr="004840FA">
                        <w:rPr>
                          <w:rFonts w:ascii="Arial" w:hAnsi="Arial" w:cs="Arial"/>
                          <w:b/>
                          <w:i/>
                          <w:color w:val="1F497D"/>
                          <w:sz w:val="20"/>
                          <w:szCs w:val="20"/>
                        </w:rPr>
                        <w:t xml:space="preserve"> из них являются банки, входящие в ТОП50 российских банков</w:t>
                      </w:r>
                      <w:r w:rsidRPr="00A33A29" w:rsidDel="005C4673">
                        <w:rPr>
                          <w:rFonts w:ascii="Arial" w:hAnsi="Arial" w:cs="Arial"/>
                          <w:b/>
                          <w:i/>
                          <w:color w:val="1F497D"/>
                          <w:sz w:val="20"/>
                          <w:szCs w:val="20"/>
                        </w:rPr>
                        <w:t xml:space="preserve"> </w:t>
                      </w:r>
                    </w:p>
                  </w:txbxContent>
                </v:textbox>
              </v:shape>
            </w:pict>
          </mc:Fallback>
        </mc:AlternateContent>
      </w:r>
      <w:r w:rsidRPr="006E30FE">
        <w:rPr>
          <w:rFonts w:ascii="Arial" w:hAnsi="Arial" w:cs="Arial"/>
          <w:szCs w:val="20"/>
        </w:rPr>
        <w:t xml:space="preserve">В </w:t>
      </w:r>
      <w:proofErr w:type="gramStart"/>
      <w:r w:rsidRPr="006E30FE">
        <w:rPr>
          <w:rFonts w:ascii="Arial" w:hAnsi="Arial" w:cs="Arial"/>
          <w:szCs w:val="20"/>
        </w:rPr>
        <w:t>представленном</w:t>
      </w:r>
      <w:proofErr w:type="gramEnd"/>
      <w:r w:rsidRPr="006E30FE">
        <w:rPr>
          <w:rFonts w:ascii="Arial" w:hAnsi="Arial" w:cs="Arial"/>
          <w:szCs w:val="20"/>
        </w:rPr>
        <w:t xml:space="preserve"> </w:t>
      </w:r>
      <w:proofErr w:type="spellStart"/>
      <w:r w:rsidRPr="006E30FE">
        <w:rPr>
          <w:rFonts w:ascii="Arial" w:hAnsi="Arial" w:cs="Arial"/>
          <w:szCs w:val="20"/>
        </w:rPr>
        <w:t>рэнкинге</w:t>
      </w:r>
      <w:proofErr w:type="spellEnd"/>
      <w:r w:rsidRPr="006E30FE">
        <w:rPr>
          <w:rFonts w:ascii="Arial" w:hAnsi="Arial" w:cs="Arial"/>
          <w:szCs w:val="20"/>
        </w:rPr>
        <w:t xml:space="preserve"> (</w:t>
      </w:r>
      <w:r>
        <w:rPr>
          <w:rFonts w:ascii="Arial" w:hAnsi="Arial" w:cs="Arial"/>
          <w:szCs w:val="20"/>
        </w:rPr>
        <w:t>П</w:t>
      </w:r>
      <w:r w:rsidRPr="006E30FE">
        <w:rPr>
          <w:rFonts w:ascii="Arial" w:hAnsi="Arial" w:cs="Arial"/>
          <w:szCs w:val="20"/>
        </w:rPr>
        <w:t>риложение 3) участвуют 1</w:t>
      </w:r>
      <w:r>
        <w:rPr>
          <w:rFonts w:ascii="Arial" w:hAnsi="Arial" w:cs="Arial"/>
          <w:szCs w:val="20"/>
        </w:rPr>
        <w:t>2</w:t>
      </w:r>
      <w:r w:rsidRPr="006E30FE">
        <w:rPr>
          <w:rFonts w:ascii="Arial" w:hAnsi="Arial" w:cs="Arial"/>
          <w:szCs w:val="20"/>
        </w:rPr>
        <w:t xml:space="preserve"> банковских групп, головными банками </w:t>
      </w:r>
      <w:r>
        <w:rPr>
          <w:rFonts w:ascii="Arial" w:hAnsi="Arial" w:cs="Arial"/>
          <w:szCs w:val="20"/>
        </w:rPr>
        <w:t xml:space="preserve"> десяти </w:t>
      </w:r>
      <w:r w:rsidRPr="006E30FE">
        <w:rPr>
          <w:rFonts w:ascii="Arial" w:hAnsi="Arial" w:cs="Arial"/>
          <w:szCs w:val="20"/>
        </w:rPr>
        <w:t xml:space="preserve">из них являются банки, входящие в ТОП50 российских банков. </w:t>
      </w:r>
    </w:p>
    <w:p w:rsidR="004F5AEE" w:rsidRPr="006E30FE" w:rsidRDefault="004F5AEE" w:rsidP="004F5AEE">
      <w:pPr>
        <w:spacing w:after="120"/>
        <w:ind w:left="3402" w:firstLine="540"/>
        <w:jc w:val="both"/>
        <w:rPr>
          <w:rFonts w:ascii="Arial" w:hAnsi="Arial" w:cs="Arial"/>
          <w:szCs w:val="20"/>
        </w:rPr>
      </w:pPr>
      <w:proofErr w:type="spellStart"/>
      <w:proofErr w:type="gramStart"/>
      <w:r w:rsidRPr="006E30FE">
        <w:rPr>
          <w:rFonts w:ascii="Arial" w:hAnsi="Arial" w:cs="Arial"/>
          <w:szCs w:val="20"/>
        </w:rPr>
        <w:t>Рэнкинг</w:t>
      </w:r>
      <w:proofErr w:type="spellEnd"/>
      <w:r w:rsidRPr="006E30FE">
        <w:rPr>
          <w:rFonts w:ascii="Arial" w:hAnsi="Arial" w:cs="Arial"/>
          <w:szCs w:val="20"/>
        </w:rPr>
        <w:t xml:space="preserve"> банковских групп составлен на основе </w:t>
      </w:r>
      <w:proofErr w:type="spellStart"/>
      <w:r w:rsidRPr="006E30FE">
        <w:rPr>
          <w:rFonts w:ascii="Arial" w:hAnsi="Arial" w:cs="Arial"/>
          <w:szCs w:val="20"/>
        </w:rPr>
        <w:t>рэнкинга</w:t>
      </w:r>
      <w:proofErr w:type="spellEnd"/>
      <w:r w:rsidRPr="006E30FE">
        <w:rPr>
          <w:rFonts w:ascii="Arial" w:hAnsi="Arial" w:cs="Arial"/>
          <w:szCs w:val="20"/>
        </w:rPr>
        <w:t xml:space="preserve"> банков «Интерфакс-100», подготовленного Интерфакс-ЦЭА по данным форм отчетности Ф101 «Оборотная ведомость по счетам бухгалтерского учета» и Ф102 «Отчет о прибылях и убытках», и форм консолидированной отчетности Ф802 «Консолидированный отчет о финансовом положении», Ф803 «Консолидированный отчет о прибылях и убытках», Ф812 «Сведения о составе участников банковской группы». </w:t>
      </w:r>
      <w:proofErr w:type="gramEnd"/>
    </w:p>
    <w:p w:rsidR="004F5AEE" w:rsidRPr="006E30FE" w:rsidRDefault="00F1320B" w:rsidP="004F5AEE">
      <w:pPr>
        <w:spacing w:after="120"/>
        <w:ind w:left="3402" w:firstLine="540"/>
        <w:jc w:val="both"/>
        <w:rPr>
          <w:rFonts w:ascii="Arial" w:hAnsi="Arial" w:cs="Arial"/>
          <w:szCs w:val="20"/>
        </w:rPr>
      </w:pPr>
      <w:r>
        <w:rPr>
          <w:rFonts w:ascii="Arial" w:hAnsi="Arial" w:cs="Arial"/>
          <w:noProof/>
          <w:szCs w:val="20"/>
        </w:rPr>
        <w:lastRenderedPageBreak/>
        <mc:AlternateContent>
          <mc:Choice Requires="wps">
            <w:drawing>
              <wp:anchor distT="0" distB="0" distL="114300" distR="114300" simplePos="0" relativeHeight="251660288" behindDoc="0" locked="0" layoutInCell="1" allowOverlap="1" wp14:anchorId="310E1C9C" wp14:editId="056C6039">
                <wp:simplePos x="0" y="0"/>
                <wp:positionH relativeFrom="column">
                  <wp:posOffset>-336843</wp:posOffset>
                </wp:positionH>
                <wp:positionV relativeFrom="paragraph">
                  <wp:posOffset>66340</wp:posOffset>
                </wp:positionV>
                <wp:extent cx="2357120" cy="977265"/>
                <wp:effectExtent l="0" t="0" r="24130" b="203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977265"/>
                        </a:xfrm>
                        <a:prstGeom prst="rect">
                          <a:avLst/>
                        </a:prstGeom>
                        <a:solidFill>
                          <a:srgbClr val="FFFFFF"/>
                        </a:solidFill>
                        <a:ln w="9525">
                          <a:solidFill>
                            <a:srgbClr val="FFFFFF"/>
                          </a:solidFill>
                          <a:miter lim="800000"/>
                          <a:headEnd/>
                          <a:tailEnd/>
                        </a:ln>
                      </wps:spPr>
                      <wps:txbx>
                        <w:txbxContent>
                          <w:p w:rsidR="004F5AEE" w:rsidRPr="00A33A29" w:rsidRDefault="004F5AEE" w:rsidP="004F5AEE">
                            <w:pPr>
                              <w:rPr>
                                <w:rFonts w:ascii="Arial" w:hAnsi="Arial" w:cs="Arial"/>
                                <w:b/>
                                <w:i/>
                                <w:color w:val="1F497D"/>
                                <w:sz w:val="20"/>
                                <w:szCs w:val="20"/>
                              </w:rPr>
                            </w:pPr>
                            <w:r w:rsidRPr="004840FA">
                              <w:rPr>
                                <w:rFonts w:ascii="Arial" w:hAnsi="Arial" w:cs="Arial"/>
                                <w:b/>
                                <w:i/>
                                <w:color w:val="1F497D"/>
                                <w:sz w:val="20"/>
                                <w:szCs w:val="20"/>
                              </w:rPr>
                              <w:t xml:space="preserve">В </w:t>
                            </w:r>
                            <w:proofErr w:type="spellStart"/>
                            <w:r w:rsidRPr="004840FA">
                              <w:rPr>
                                <w:rFonts w:ascii="Arial" w:hAnsi="Arial" w:cs="Arial"/>
                                <w:b/>
                                <w:i/>
                                <w:color w:val="1F497D"/>
                                <w:sz w:val="20"/>
                                <w:szCs w:val="20"/>
                              </w:rPr>
                              <w:t>рэнкинге</w:t>
                            </w:r>
                            <w:proofErr w:type="spellEnd"/>
                            <w:r w:rsidRPr="004840FA">
                              <w:rPr>
                                <w:rFonts w:ascii="Arial" w:hAnsi="Arial" w:cs="Arial"/>
                                <w:b/>
                                <w:i/>
                                <w:color w:val="1F497D"/>
                                <w:sz w:val="20"/>
                                <w:szCs w:val="20"/>
                              </w:rPr>
                              <w:t xml:space="preserve"> предст</w:t>
                            </w:r>
                            <w:r>
                              <w:rPr>
                                <w:rFonts w:ascii="Arial" w:hAnsi="Arial" w:cs="Arial"/>
                                <w:b/>
                                <w:i/>
                                <w:color w:val="1F497D"/>
                                <w:sz w:val="20"/>
                                <w:szCs w:val="20"/>
                              </w:rPr>
                              <w:t xml:space="preserve">авлены данные по состоянию на 1 июля </w:t>
                            </w:r>
                            <w:r w:rsidRPr="004840FA">
                              <w:rPr>
                                <w:rFonts w:ascii="Arial" w:hAnsi="Arial" w:cs="Arial"/>
                                <w:b/>
                                <w:i/>
                                <w:color w:val="1F497D"/>
                                <w:sz w:val="20"/>
                                <w:szCs w:val="20"/>
                              </w:rPr>
                              <w:t xml:space="preserve">2012 года с указанием динамики за </w:t>
                            </w:r>
                            <w:r>
                              <w:rPr>
                                <w:rFonts w:ascii="Arial" w:hAnsi="Arial" w:cs="Arial"/>
                                <w:b/>
                                <w:i/>
                                <w:color w:val="1F497D"/>
                                <w:sz w:val="20"/>
                                <w:szCs w:val="20"/>
                              </w:rPr>
                              <w:t xml:space="preserve">первое полугодие 2012 года </w:t>
                            </w:r>
                            <w:r w:rsidRPr="004840FA">
                              <w:rPr>
                                <w:rFonts w:ascii="Arial" w:hAnsi="Arial" w:cs="Arial"/>
                                <w:b/>
                                <w:i/>
                                <w:color w:val="1F497D"/>
                                <w:sz w:val="20"/>
                                <w:szCs w:val="20"/>
                              </w:rPr>
                              <w:t>банков и банковских групп, входящих в ТОП200 российских банков</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Поле 1" o:spid="_x0000_s1028" type="#_x0000_t202" style="position:absolute;left:0;text-align:left;margin-left:-26.5pt;margin-top:5.2pt;width:185.6pt;height:76.9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" strokecolor="white">
                <v:textbox style="mso-fit-shape-to-text:t">
                  <w:txbxContent>
                    <w:p w:rsidR="004F5AEE" w:rsidRPr="00A33A29" w:rsidRDefault="004F5AEE" w:rsidP="004F5AEE">
                      <w:pPr>
                        <w:rPr>
                          <w:rFonts w:ascii="Arial" w:hAnsi="Arial" w:cs="Arial"/>
                          <w:b/>
                          <w:i/>
                          <w:color w:val="1F497D"/>
                          <w:sz w:val="20"/>
                          <w:szCs w:val="20"/>
                        </w:rPr>
                      </w:pPr>
                      <w:r w:rsidRPr="004840FA">
                        <w:rPr>
                          <w:rFonts w:ascii="Arial" w:hAnsi="Arial" w:cs="Arial"/>
                          <w:b/>
                          <w:i/>
                          <w:color w:val="1F497D"/>
                          <w:sz w:val="20"/>
                          <w:szCs w:val="20"/>
                        </w:rPr>
                        <w:t xml:space="preserve">В </w:t>
                      </w:r>
                      <w:proofErr w:type="spellStart"/>
                      <w:r w:rsidRPr="004840FA">
                        <w:rPr>
                          <w:rFonts w:ascii="Arial" w:hAnsi="Arial" w:cs="Arial"/>
                          <w:b/>
                          <w:i/>
                          <w:color w:val="1F497D"/>
                          <w:sz w:val="20"/>
                          <w:szCs w:val="20"/>
                        </w:rPr>
                        <w:t>рэнкинге</w:t>
                      </w:r>
                      <w:proofErr w:type="spellEnd"/>
                      <w:r w:rsidRPr="004840FA">
                        <w:rPr>
                          <w:rFonts w:ascii="Arial" w:hAnsi="Arial" w:cs="Arial"/>
                          <w:b/>
                          <w:i/>
                          <w:color w:val="1F497D"/>
                          <w:sz w:val="20"/>
                          <w:szCs w:val="20"/>
                        </w:rPr>
                        <w:t xml:space="preserve"> предст</w:t>
                      </w:r>
                      <w:r>
                        <w:rPr>
                          <w:rFonts w:ascii="Arial" w:hAnsi="Arial" w:cs="Arial"/>
                          <w:b/>
                          <w:i/>
                          <w:color w:val="1F497D"/>
                          <w:sz w:val="20"/>
                          <w:szCs w:val="20"/>
                        </w:rPr>
                        <w:t xml:space="preserve">авлены данные по состоянию на 1 июля </w:t>
                      </w:r>
                      <w:r w:rsidRPr="004840FA">
                        <w:rPr>
                          <w:rFonts w:ascii="Arial" w:hAnsi="Arial" w:cs="Arial"/>
                          <w:b/>
                          <w:i/>
                          <w:color w:val="1F497D"/>
                          <w:sz w:val="20"/>
                          <w:szCs w:val="20"/>
                        </w:rPr>
                        <w:t xml:space="preserve">2012 года с указанием динамики за </w:t>
                      </w:r>
                      <w:r>
                        <w:rPr>
                          <w:rFonts w:ascii="Arial" w:hAnsi="Arial" w:cs="Arial"/>
                          <w:b/>
                          <w:i/>
                          <w:color w:val="1F497D"/>
                          <w:sz w:val="20"/>
                          <w:szCs w:val="20"/>
                        </w:rPr>
                        <w:t xml:space="preserve">первое полугодие 2012 года </w:t>
                      </w:r>
                      <w:r w:rsidRPr="004840FA">
                        <w:rPr>
                          <w:rFonts w:ascii="Arial" w:hAnsi="Arial" w:cs="Arial"/>
                          <w:b/>
                          <w:i/>
                          <w:color w:val="1F497D"/>
                          <w:sz w:val="20"/>
                          <w:szCs w:val="20"/>
                        </w:rPr>
                        <w:t>банков и банковских групп, входящих в ТОП200 российских банков</w:t>
                      </w:r>
                    </w:p>
                  </w:txbxContent>
                </v:textbox>
              </v:shape>
            </w:pict>
          </mc:Fallback>
        </mc:AlternateContent>
      </w:r>
      <w:r w:rsidR="004F5AEE" w:rsidRPr="006E30FE">
        <w:rPr>
          <w:rFonts w:ascii="Arial" w:hAnsi="Arial" w:cs="Arial"/>
          <w:szCs w:val="20"/>
        </w:rPr>
        <w:t xml:space="preserve">В </w:t>
      </w:r>
      <w:proofErr w:type="spellStart"/>
      <w:r w:rsidR="004F5AEE" w:rsidRPr="006E30FE">
        <w:rPr>
          <w:rFonts w:ascii="Arial" w:hAnsi="Arial" w:cs="Arial"/>
          <w:szCs w:val="20"/>
        </w:rPr>
        <w:t>рэнкинге</w:t>
      </w:r>
      <w:proofErr w:type="spellEnd"/>
      <w:r w:rsidR="004F5AEE" w:rsidRPr="006E30FE">
        <w:rPr>
          <w:rFonts w:ascii="Arial" w:hAnsi="Arial" w:cs="Arial"/>
          <w:szCs w:val="20"/>
        </w:rPr>
        <w:t xml:space="preserve"> предст</w:t>
      </w:r>
      <w:r w:rsidR="004F5AEE">
        <w:rPr>
          <w:rFonts w:ascii="Arial" w:hAnsi="Arial" w:cs="Arial"/>
          <w:szCs w:val="20"/>
        </w:rPr>
        <w:t xml:space="preserve">авлены данные по состоянию на 1 июля </w:t>
      </w:r>
      <w:r w:rsidR="004F5AEE" w:rsidRPr="006E30FE">
        <w:rPr>
          <w:rFonts w:ascii="Arial" w:hAnsi="Arial" w:cs="Arial"/>
          <w:szCs w:val="20"/>
        </w:rPr>
        <w:t xml:space="preserve">2012 года с указанием динамики за </w:t>
      </w:r>
      <w:r w:rsidR="004F5AEE">
        <w:rPr>
          <w:rFonts w:ascii="Arial" w:hAnsi="Arial" w:cs="Arial"/>
          <w:szCs w:val="20"/>
        </w:rPr>
        <w:t>1-е полугодие 2012 года</w:t>
      </w:r>
      <w:r w:rsidR="004F5AEE" w:rsidRPr="006E30FE">
        <w:rPr>
          <w:rFonts w:ascii="Arial" w:hAnsi="Arial" w:cs="Arial"/>
          <w:szCs w:val="20"/>
        </w:rPr>
        <w:t xml:space="preserve"> банков и банковских групп, входящих в ТОП200 российских банков, по следующим показателям банковской деятельности: </w:t>
      </w:r>
    </w:p>
    <w:p w:rsidR="004F5AEE" w:rsidRPr="006E30FE" w:rsidRDefault="004F5AEE" w:rsidP="004F5AEE">
      <w:pPr>
        <w:spacing w:after="120"/>
        <w:ind w:left="3402" w:firstLine="540"/>
        <w:jc w:val="both"/>
        <w:rPr>
          <w:rFonts w:ascii="Arial" w:hAnsi="Arial" w:cs="Arial"/>
          <w:szCs w:val="20"/>
        </w:rPr>
      </w:pPr>
      <w:r w:rsidRPr="006E30FE">
        <w:rPr>
          <w:rFonts w:ascii="Arial" w:hAnsi="Arial" w:cs="Arial"/>
          <w:szCs w:val="20"/>
        </w:rPr>
        <w:t xml:space="preserve"> - активы-нетто</w:t>
      </w:r>
    </w:p>
    <w:p w:rsidR="004F5AEE" w:rsidRPr="006E30FE" w:rsidRDefault="004F5AEE" w:rsidP="004F5AEE">
      <w:pPr>
        <w:spacing w:after="120"/>
        <w:ind w:left="3402" w:firstLine="540"/>
        <w:jc w:val="both"/>
        <w:rPr>
          <w:rFonts w:ascii="Arial" w:hAnsi="Arial" w:cs="Arial"/>
          <w:szCs w:val="20"/>
        </w:rPr>
      </w:pPr>
      <w:r w:rsidRPr="006E30FE">
        <w:rPr>
          <w:rFonts w:ascii="Arial" w:hAnsi="Arial" w:cs="Arial"/>
          <w:szCs w:val="20"/>
        </w:rPr>
        <w:t xml:space="preserve"> - собственный капитал банка</w:t>
      </w:r>
    </w:p>
    <w:p w:rsidR="004F5AEE" w:rsidRPr="006E30FE" w:rsidRDefault="004F5AEE" w:rsidP="004F5AEE">
      <w:pPr>
        <w:spacing w:after="120"/>
        <w:ind w:left="3402" w:firstLine="540"/>
        <w:jc w:val="both"/>
        <w:rPr>
          <w:rFonts w:ascii="Arial" w:hAnsi="Arial" w:cs="Arial"/>
          <w:szCs w:val="20"/>
        </w:rPr>
      </w:pPr>
      <w:r w:rsidRPr="006E30FE">
        <w:rPr>
          <w:rFonts w:ascii="Arial" w:hAnsi="Arial" w:cs="Arial"/>
          <w:szCs w:val="20"/>
        </w:rPr>
        <w:t xml:space="preserve"> - кредиты небанковским организациям</w:t>
      </w:r>
    </w:p>
    <w:p w:rsidR="004F5AEE" w:rsidRPr="006E30FE" w:rsidRDefault="004F5AEE" w:rsidP="004F5AEE">
      <w:pPr>
        <w:spacing w:after="120"/>
        <w:ind w:left="3402" w:firstLine="540"/>
        <w:jc w:val="both"/>
        <w:rPr>
          <w:rFonts w:ascii="Arial" w:hAnsi="Arial" w:cs="Arial"/>
          <w:szCs w:val="20"/>
        </w:rPr>
      </w:pPr>
      <w:r w:rsidRPr="006E30FE">
        <w:rPr>
          <w:rFonts w:ascii="Arial" w:hAnsi="Arial" w:cs="Arial"/>
          <w:szCs w:val="20"/>
        </w:rPr>
        <w:t xml:space="preserve"> - обязательства нефинансового сектора</w:t>
      </w:r>
    </w:p>
    <w:p w:rsidR="004F5AEE" w:rsidRPr="006E30FE" w:rsidRDefault="004F5AEE" w:rsidP="004F5AEE">
      <w:pPr>
        <w:spacing w:after="120"/>
        <w:ind w:left="3402" w:firstLine="540"/>
        <w:jc w:val="both"/>
        <w:rPr>
          <w:rFonts w:ascii="Arial" w:hAnsi="Arial" w:cs="Arial"/>
          <w:szCs w:val="20"/>
        </w:rPr>
      </w:pPr>
      <w:r w:rsidRPr="006E30FE">
        <w:rPr>
          <w:rFonts w:ascii="Arial" w:hAnsi="Arial" w:cs="Arial"/>
          <w:szCs w:val="20"/>
        </w:rPr>
        <w:t xml:space="preserve"> - вклады физических лиц</w:t>
      </w:r>
    </w:p>
    <w:p w:rsidR="004F5AEE" w:rsidRPr="006E30FE" w:rsidRDefault="004F5AEE" w:rsidP="004F5AEE">
      <w:pPr>
        <w:spacing w:after="120"/>
        <w:ind w:left="3402" w:firstLine="540"/>
        <w:jc w:val="both"/>
        <w:rPr>
          <w:rFonts w:ascii="Arial" w:hAnsi="Arial" w:cs="Arial"/>
          <w:szCs w:val="20"/>
        </w:rPr>
      </w:pPr>
      <w:proofErr w:type="gramStart"/>
      <w:r w:rsidRPr="006E30FE">
        <w:rPr>
          <w:rFonts w:ascii="Arial" w:hAnsi="Arial" w:cs="Arial"/>
          <w:szCs w:val="20"/>
        </w:rPr>
        <w:t>При этом показатели по группе в целом приведены в соответствии с данными консолидированной отчетности</w:t>
      </w:r>
      <w:proofErr w:type="gramEnd"/>
      <w:r w:rsidRPr="006E30FE">
        <w:rPr>
          <w:rFonts w:ascii="Arial" w:hAnsi="Arial" w:cs="Arial"/>
          <w:szCs w:val="20"/>
        </w:rPr>
        <w:t xml:space="preserve">, а показатели по каждому из входящих в группу банков и банкам, не являющимся членами банковских групп, - в соответствии с </w:t>
      </w:r>
      <w:proofErr w:type="spellStart"/>
      <w:r w:rsidRPr="006E30FE">
        <w:rPr>
          <w:rFonts w:ascii="Arial" w:hAnsi="Arial" w:cs="Arial"/>
          <w:szCs w:val="20"/>
        </w:rPr>
        <w:t>рэнкингом</w:t>
      </w:r>
      <w:proofErr w:type="spellEnd"/>
      <w:r w:rsidRPr="006E30FE">
        <w:rPr>
          <w:rFonts w:ascii="Arial" w:hAnsi="Arial" w:cs="Arial"/>
          <w:szCs w:val="20"/>
        </w:rPr>
        <w:t xml:space="preserve"> «Интерфакс-100».</w:t>
      </w:r>
    </w:p>
    <w:p w:rsidR="004F5AEE" w:rsidRPr="006E30FE" w:rsidRDefault="004F5AEE" w:rsidP="004F5AEE">
      <w:pPr>
        <w:spacing w:after="120"/>
        <w:ind w:left="3402" w:firstLine="540"/>
        <w:jc w:val="both"/>
        <w:rPr>
          <w:rFonts w:ascii="Arial" w:hAnsi="Arial" w:cs="Arial"/>
          <w:szCs w:val="20"/>
        </w:rPr>
      </w:pPr>
      <w:r>
        <w:rPr>
          <w:rFonts w:ascii="Arial" w:hAnsi="Arial" w:cs="Arial"/>
          <w:noProof/>
          <w:szCs w:val="20"/>
        </w:rPr>
        <mc:AlternateContent>
          <mc:Choice Requires="wps">
            <w:drawing>
              <wp:anchor distT="0" distB="0" distL="114300" distR="114300" simplePos="0" relativeHeight="251659264" behindDoc="0" locked="0" layoutInCell="1" allowOverlap="1">
                <wp:simplePos x="0" y="0"/>
                <wp:positionH relativeFrom="column">
                  <wp:posOffset>-481330</wp:posOffset>
                </wp:positionH>
                <wp:positionV relativeFrom="paragraph">
                  <wp:posOffset>1395730</wp:posOffset>
                </wp:positionV>
                <wp:extent cx="2352675" cy="1561465"/>
                <wp:effectExtent l="0" t="0" r="24130" b="13970"/>
                <wp:wrapNone/>
                <wp:docPr id="271" name="Поле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561465"/>
                        </a:xfrm>
                        <a:prstGeom prst="rect">
                          <a:avLst/>
                        </a:prstGeom>
                        <a:solidFill>
                          <a:srgbClr val="FFFFFF"/>
                        </a:solidFill>
                        <a:ln w="9525">
                          <a:solidFill>
                            <a:srgbClr val="FFFFFF"/>
                          </a:solidFill>
                          <a:miter lim="800000"/>
                          <a:headEnd/>
                          <a:tailEnd/>
                        </a:ln>
                      </wps:spPr>
                      <wps:txbx>
                        <w:txbxContent>
                          <w:p w:rsidR="004F5AEE" w:rsidRPr="00A33A29" w:rsidRDefault="004F5AEE" w:rsidP="004F5AEE">
                            <w:pPr>
                              <w:rPr>
                                <w:rFonts w:ascii="Arial" w:hAnsi="Arial" w:cs="Arial"/>
                                <w:b/>
                                <w:i/>
                                <w:color w:val="1F497D"/>
                                <w:sz w:val="20"/>
                                <w:szCs w:val="20"/>
                              </w:rPr>
                            </w:pPr>
                            <w:r w:rsidRPr="004840FA">
                              <w:rPr>
                                <w:rFonts w:ascii="Arial" w:hAnsi="Arial" w:cs="Arial"/>
                                <w:b/>
                                <w:i/>
                                <w:color w:val="1F497D"/>
                                <w:sz w:val="20"/>
                                <w:szCs w:val="20"/>
                              </w:rPr>
                              <w:t xml:space="preserve">Так как  Внешэкономбанк не составляет консолидированную отчетность по РСБУ, консолидированные данные по группе Внешэкономбанка в </w:t>
                            </w:r>
                            <w:proofErr w:type="spellStart"/>
                            <w:r w:rsidRPr="004840FA">
                              <w:rPr>
                                <w:rFonts w:ascii="Arial" w:hAnsi="Arial" w:cs="Arial"/>
                                <w:b/>
                                <w:i/>
                                <w:color w:val="1F497D"/>
                                <w:sz w:val="20"/>
                                <w:szCs w:val="20"/>
                              </w:rPr>
                              <w:t>рэнкинге</w:t>
                            </w:r>
                            <w:proofErr w:type="spellEnd"/>
                            <w:r w:rsidRPr="004840FA">
                              <w:rPr>
                                <w:rFonts w:ascii="Arial" w:hAnsi="Arial" w:cs="Arial"/>
                                <w:b/>
                                <w:i/>
                                <w:color w:val="1F497D"/>
                                <w:sz w:val="20"/>
                                <w:szCs w:val="20"/>
                              </w:rPr>
                              <w:t xml:space="preserve"> приведены в соответствии с консолидированной отчетностью по МСФО</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Поле 271" o:spid="_x0000_s1029" type="#_x0000_t202" style="position:absolute;left:0;text-align:left;margin-left:-37.9pt;margin-top:109.9pt;width:185.25pt;height:122.9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" strokecolor="white">
                <v:textbox style="mso-fit-shape-to-text:t">
                  <w:txbxContent>
                    <w:p w:rsidR="004F5AEE" w:rsidRPr="00A33A29" w:rsidRDefault="004F5AEE" w:rsidP="004F5AEE">
                      <w:pPr>
                        <w:rPr>
                          <w:rFonts w:ascii="Arial" w:hAnsi="Arial" w:cs="Arial"/>
                          <w:b/>
                          <w:i/>
                          <w:color w:val="1F497D"/>
                          <w:sz w:val="20"/>
                          <w:szCs w:val="20"/>
                        </w:rPr>
                      </w:pPr>
                      <w:r w:rsidRPr="004840FA">
                        <w:rPr>
                          <w:rFonts w:ascii="Arial" w:hAnsi="Arial" w:cs="Arial"/>
                          <w:b/>
                          <w:i/>
                          <w:color w:val="1F497D"/>
                          <w:sz w:val="20"/>
                          <w:szCs w:val="20"/>
                        </w:rPr>
                        <w:t xml:space="preserve">Так как  Внешэкономбанк не составляет консолидированную отчетность по РСБУ, консолидированные данные по группе Внешэкономбанка в </w:t>
                      </w:r>
                      <w:proofErr w:type="spellStart"/>
                      <w:r w:rsidRPr="004840FA">
                        <w:rPr>
                          <w:rFonts w:ascii="Arial" w:hAnsi="Arial" w:cs="Arial"/>
                          <w:b/>
                          <w:i/>
                          <w:color w:val="1F497D"/>
                          <w:sz w:val="20"/>
                          <w:szCs w:val="20"/>
                        </w:rPr>
                        <w:t>рэнкинге</w:t>
                      </w:r>
                      <w:proofErr w:type="spellEnd"/>
                      <w:r w:rsidRPr="004840FA">
                        <w:rPr>
                          <w:rFonts w:ascii="Arial" w:hAnsi="Arial" w:cs="Arial"/>
                          <w:b/>
                          <w:i/>
                          <w:color w:val="1F497D"/>
                          <w:sz w:val="20"/>
                          <w:szCs w:val="20"/>
                        </w:rPr>
                        <w:t xml:space="preserve"> приведены в соответствии с консолидированной отчетностью по МСФО</w:t>
                      </w:r>
                    </w:p>
                  </w:txbxContent>
                </v:textbox>
              </v:shape>
            </w:pict>
          </mc:Fallback>
        </mc:AlternateContent>
      </w:r>
      <w:proofErr w:type="gramStart"/>
      <w:r w:rsidRPr="006E30FE">
        <w:rPr>
          <w:rFonts w:ascii="Arial" w:hAnsi="Arial" w:cs="Arial"/>
          <w:szCs w:val="20"/>
        </w:rPr>
        <w:t xml:space="preserve">Имеющий особый статус и действующий в целях повышения конкурентоспособности экономики России Внешэкономбанк, не участвующий в </w:t>
      </w:r>
      <w:proofErr w:type="spellStart"/>
      <w:r w:rsidRPr="006E30FE">
        <w:rPr>
          <w:rFonts w:ascii="Arial" w:hAnsi="Arial" w:cs="Arial"/>
          <w:szCs w:val="20"/>
        </w:rPr>
        <w:t>рэнкинге</w:t>
      </w:r>
      <w:proofErr w:type="spellEnd"/>
      <w:r w:rsidRPr="006E30FE">
        <w:rPr>
          <w:rFonts w:ascii="Arial" w:hAnsi="Arial" w:cs="Arial"/>
          <w:szCs w:val="20"/>
        </w:rPr>
        <w:t xml:space="preserve"> российских банков «Интерфакс-100», был включен в </w:t>
      </w:r>
      <w:proofErr w:type="spellStart"/>
      <w:r w:rsidRPr="006E30FE">
        <w:rPr>
          <w:rFonts w:ascii="Arial" w:hAnsi="Arial" w:cs="Arial"/>
          <w:szCs w:val="20"/>
        </w:rPr>
        <w:t>рэнкинг</w:t>
      </w:r>
      <w:proofErr w:type="spellEnd"/>
      <w:r w:rsidRPr="006E30FE">
        <w:rPr>
          <w:rFonts w:ascii="Arial" w:hAnsi="Arial" w:cs="Arial"/>
          <w:szCs w:val="20"/>
        </w:rPr>
        <w:t xml:space="preserve"> банковских групп, так как в 2008 году, в разгар экономического кризиса, под его эгидой была создана группа, в которую вошли испытывавшие на тот момент финансовые трудности крупные системообразующие коммерческие банки  - Связь-банк и </w:t>
      </w:r>
      <w:proofErr w:type="spellStart"/>
      <w:r w:rsidRPr="006E30FE">
        <w:rPr>
          <w:rFonts w:ascii="Arial" w:hAnsi="Arial" w:cs="Arial"/>
          <w:szCs w:val="20"/>
        </w:rPr>
        <w:t>Глобэксбанк</w:t>
      </w:r>
      <w:proofErr w:type="spellEnd"/>
      <w:r w:rsidRPr="006E30FE">
        <w:rPr>
          <w:rFonts w:ascii="Arial" w:hAnsi="Arial" w:cs="Arial"/>
          <w:szCs w:val="20"/>
        </w:rPr>
        <w:t>.</w:t>
      </w:r>
      <w:proofErr w:type="gramEnd"/>
      <w:r w:rsidRPr="006E30FE">
        <w:rPr>
          <w:rFonts w:ascii="Arial" w:hAnsi="Arial" w:cs="Arial"/>
          <w:szCs w:val="20"/>
        </w:rPr>
        <w:t xml:space="preserve"> Кроме того, к группе Внешэкономбанка относятся государственные Российский банк поддержки малого и среднего предпринимательства</w:t>
      </w:r>
      <w:r>
        <w:rPr>
          <w:rFonts w:ascii="Arial" w:hAnsi="Arial" w:cs="Arial"/>
          <w:szCs w:val="20"/>
        </w:rPr>
        <w:t xml:space="preserve"> (МСП Банк)</w:t>
      </w:r>
      <w:r w:rsidRPr="006E30FE">
        <w:rPr>
          <w:rFonts w:ascii="Arial" w:hAnsi="Arial" w:cs="Arial"/>
          <w:szCs w:val="20"/>
        </w:rPr>
        <w:t xml:space="preserve"> и </w:t>
      </w:r>
      <w:proofErr w:type="spellStart"/>
      <w:r w:rsidRPr="006E30FE">
        <w:rPr>
          <w:rFonts w:ascii="Arial" w:hAnsi="Arial" w:cs="Arial"/>
          <w:szCs w:val="20"/>
        </w:rPr>
        <w:t>Росэксимбанк</w:t>
      </w:r>
      <w:proofErr w:type="spellEnd"/>
      <w:r w:rsidRPr="006E30FE">
        <w:rPr>
          <w:rFonts w:ascii="Arial" w:hAnsi="Arial" w:cs="Arial"/>
          <w:szCs w:val="20"/>
        </w:rPr>
        <w:t xml:space="preserve">. </w:t>
      </w:r>
    </w:p>
    <w:p w:rsidR="004F5AEE" w:rsidRPr="006E30FE" w:rsidRDefault="004F5AEE" w:rsidP="004F5AEE">
      <w:pPr>
        <w:spacing w:after="120"/>
        <w:ind w:left="3402" w:firstLine="540"/>
        <w:jc w:val="both"/>
        <w:rPr>
          <w:rFonts w:ascii="Arial" w:hAnsi="Arial" w:cs="Arial"/>
          <w:szCs w:val="20"/>
        </w:rPr>
      </w:pPr>
      <w:r w:rsidRPr="006E30FE">
        <w:rPr>
          <w:rFonts w:ascii="Arial" w:hAnsi="Arial" w:cs="Arial"/>
          <w:szCs w:val="20"/>
        </w:rPr>
        <w:t xml:space="preserve">Так как, из-за своего особого статуса, Внешэкономбанк не составляет консолидированную отчетность по РСБУ, консолидированные данные по группе Внешэкономбанка в </w:t>
      </w:r>
      <w:proofErr w:type="spellStart"/>
      <w:r w:rsidRPr="006E30FE">
        <w:rPr>
          <w:rFonts w:ascii="Arial" w:hAnsi="Arial" w:cs="Arial"/>
          <w:szCs w:val="20"/>
        </w:rPr>
        <w:t>рэнкинге</w:t>
      </w:r>
      <w:proofErr w:type="spellEnd"/>
      <w:r w:rsidRPr="006E30FE">
        <w:rPr>
          <w:rFonts w:ascii="Arial" w:hAnsi="Arial" w:cs="Arial"/>
          <w:szCs w:val="20"/>
        </w:rPr>
        <w:t xml:space="preserve"> приведены в соответствии с консолидированной отчетностью по МСФО, а данные непосредственно по Внешэкономбанку  - в соответствии с публикуемой отчетностью банка по РСБУ. </w:t>
      </w:r>
    </w:p>
    <w:p w:rsidR="00877C72" w:rsidRDefault="00877C72"/>
    <w:sectPr w:rsidR="00877C72">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A2" w:rsidRDefault="00D75CA2" w:rsidP="00F1320B">
      <w:r>
        <w:separator/>
      </w:r>
    </w:p>
  </w:endnote>
  <w:endnote w:type="continuationSeparator" w:id="0">
    <w:p w:rsidR="00D75CA2" w:rsidRDefault="00D75CA2" w:rsidP="00F1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0B" w:rsidRDefault="00F1320B" w:rsidP="00F1320B">
    <w:pPr>
      <w:pStyle w:val="a5"/>
      <w:jc w:val="right"/>
    </w:pPr>
    <w:r>
      <w:fldChar w:fldCharType="begin"/>
    </w:r>
    <w:r>
      <w:instrText xml:space="preserve"> PAGE   \* MERGEFORMAT </w:instrText>
    </w:r>
    <w:r>
      <w:fldChar w:fldCharType="separate"/>
    </w:r>
    <w:r>
      <w:rPr>
        <w:noProof/>
      </w:rPr>
      <w:t>1</w:t>
    </w:r>
    <w:r>
      <w:fldChar w:fldCharType="end"/>
    </w:r>
    <w:r>
      <w:t xml:space="preserve">                           </w:t>
    </w:r>
    <w:r>
      <w:rPr>
        <w:rFonts w:ascii="Arial" w:hAnsi="Arial" w:cs="Arial"/>
        <w:b/>
        <w:bCs/>
        <w:color w:val="003366"/>
        <w:sz w:val="16"/>
      </w:rPr>
      <w:t xml:space="preserve">© 2012 </w:t>
    </w:r>
    <w:r>
      <w:rPr>
        <w:rFonts w:ascii="Arial" w:hAnsi="Arial" w:cs="Arial"/>
        <w:b/>
        <w:noProof/>
        <w:color w:val="003366"/>
        <w:sz w:val="16"/>
      </w:rPr>
      <w:drawing>
        <wp:inline distT="0" distB="0" distL="0" distR="0" wp14:anchorId="21567B0E" wp14:editId="0DBB7EA3">
          <wp:extent cx="1547495" cy="311785"/>
          <wp:effectExtent l="0" t="0" r="0" b="0"/>
          <wp:docPr id="4" name="Рисунок 4" descr="CEA_logo-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EA_logo-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495" cy="311785"/>
                  </a:xfrm>
                  <a:prstGeom prst="rect">
                    <a:avLst/>
                  </a:prstGeom>
                  <a:noFill/>
                  <a:ln>
                    <a:noFill/>
                  </a:ln>
                </pic:spPr>
              </pic:pic>
            </a:graphicData>
          </a:graphic>
        </wp:inline>
      </w:drawing>
    </w:r>
  </w:p>
  <w:p w:rsidR="00F1320B" w:rsidRDefault="00F132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A2" w:rsidRDefault="00D75CA2" w:rsidP="00F1320B">
      <w:r>
        <w:separator/>
      </w:r>
    </w:p>
  </w:footnote>
  <w:footnote w:type="continuationSeparator" w:id="0">
    <w:p w:rsidR="00D75CA2" w:rsidRDefault="00D75CA2" w:rsidP="00F13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0B" w:rsidRDefault="00F1320B" w:rsidP="00F1320B">
    <w:pPr>
      <w:pStyle w:val="a3"/>
      <w:tabs>
        <w:tab w:val="clear" w:pos="4677"/>
        <w:tab w:val="clear" w:pos="9355"/>
      </w:tabs>
      <w:ind w:left="1080" w:hanging="814"/>
      <w:rPr>
        <w:rFonts w:ascii="Arial" w:hAnsi="Arial" w:cs="Arial"/>
        <w:b/>
        <w:bCs/>
        <w:color w:val="003366"/>
        <w:sz w:val="20"/>
        <w:szCs w:val="20"/>
      </w:rPr>
    </w:pPr>
    <w:proofErr w:type="spellStart"/>
    <w:r>
      <w:rPr>
        <w:rFonts w:ascii="Arial" w:hAnsi="Arial" w:cs="Arial"/>
        <w:b/>
        <w:iCs/>
        <w:color w:val="003366"/>
        <w:sz w:val="20"/>
        <w:szCs w:val="20"/>
      </w:rPr>
      <w:t>Рэнкинг</w:t>
    </w:r>
    <w:proofErr w:type="spellEnd"/>
    <w:r>
      <w:rPr>
        <w:rFonts w:ascii="Arial" w:hAnsi="Arial" w:cs="Arial"/>
        <w:b/>
        <w:iCs/>
        <w:color w:val="003366"/>
        <w:sz w:val="20"/>
        <w:szCs w:val="20"/>
      </w:rPr>
      <w:t xml:space="preserve"> банковских групп в России</w:t>
    </w:r>
  </w:p>
  <w:p w:rsidR="00F1320B" w:rsidRDefault="00F1320B" w:rsidP="00F1320B">
    <w:pPr>
      <w:pStyle w:val="a3"/>
      <w:spacing w:after="120"/>
      <w:ind w:left="266"/>
      <w:rPr>
        <w:rFonts w:ascii="Arial" w:hAnsi="Arial" w:cs="Arial"/>
        <w:color w:val="003366"/>
        <w:sz w:val="16"/>
      </w:rPr>
    </w:pPr>
    <w:r>
      <w:rPr>
        <w:rFonts w:ascii="Arial" w:hAnsi="Arial" w:cs="Arial"/>
        <w:color w:val="003366"/>
        <w:sz w:val="16"/>
      </w:rPr>
      <w:t>1</w:t>
    </w:r>
    <w:r>
      <w:rPr>
        <w:rFonts w:ascii="Arial" w:hAnsi="Arial" w:cs="Arial"/>
        <w:color w:val="003366"/>
        <w:sz w:val="16"/>
      </w:rPr>
      <w:t>2 декабря</w:t>
    </w:r>
    <w:r>
      <w:rPr>
        <w:rFonts w:ascii="Arial" w:hAnsi="Arial" w:cs="Arial"/>
        <w:color w:val="003366"/>
        <w:sz w:val="16"/>
      </w:rPr>
      <w:t xml:space="preserve"> 2012</w:t>
    </w:r>
  </w:p>
  <w:p w:rsidR="00F1320B" w:rsidRDefault="00F132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EE"/>
    <w:rsid w:val="004A0730"/>
    <w:rsid w:val="004F5AEE"/>
    <w:rsid w:val="00877C72"/>
    <w:rsid w:val="00D75CA2"/>
    <w:rsid w:val="00DE5CC1"/>
    <w:rsid w:val="00F13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A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20B"/>
    <w:pPr>
      <w:tabs>
        <w:tab w:val="center" w:pos="4677"/>
        <w:tab w:val="right" w:pos="9355"/>
      </w:tabs>
    </w:pPr>
  </w:style>
  <w:style w:type="character" w:customStyle="1" w:styleId="a4">
    <w:name w:val="Верхний колонтитул Знак"/>
    <w:basedOn w:val="a0"/>
    <w:link w:val="a3"/>
    <w:uiPriority w:val="99"/>
    <w:rsid w:val="00F1320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1320B"/>
    <w:pPr>
      <w:tabs>
        <w:tab w:val="center" w:pos="4677"/>
        <w:tab w:val="right" w:pos="9355"/>
      </w:tabs>
    </w:pPr>
  </w:style>
  <w:style w:type="character" w:customStyle="1" w:styleId="a6">
    <w:name w:val="Нижний колонтитул Знак"/>
    <w:basedOn w:val="a0"/>
    <w:link w:val="a5"/>
    <w:uiPriority w:val="99"/>
    <w:rsid w:val="00F1320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1320B"/>
    <w:rPr>
      <w:rFonts w:ascii="Tahoma" w:hAnsi="Tahoma" w:cs="Tahoma"/>
      <w:sz w:val="16"/>
      <w:szCs w:val="16"/>
    </w:rPr>
  </w:style>
  <w:style w:type="character" w:customStyle="1" w:styleId="a8">
    <w:name w:val="Текст выноски Знак"/>
    <w:basedOn w:val="a0"/>
    <w:link w:val="a7"/>
    <w:uiPriority w:val="99"/>
    <w:semiHidden/>
    <w:rsid w:val="00F1320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A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20B"/>
    <w:pPr>
      <w:tabs>
        <w:tab w:val="center" w:pos="4677"/>
        <w:tab w:val="right" w:pos="9355"/>
      </w:tabs>
    </w:pPr>
  </w:style>
  <w:style w:type="character" w:customStyle="1" w:styleId="a4">
    <w:name w:val="Верхний колонтитул Знак"/>
    <w:basedOn w:val="a0"/>
    <w:link w:val="a3"/>
    <w:uiPriority w:val="99"/>
    <w:rsid w:val="00F1320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1320B"/>
    <w:pPr>
      <w:tabs>
        <w:tab w:val="center" w:pos="4677"/>
        <w:tab w:val="right" w:pos="9355"/>
      </w:tabs>
    </w:pPr>
  </w:style>
  <w:style w:type="character" w:customStyle="1" w:styleId="a6">
    <w:name w:val="Нижний колонтитул Знак"/>
    <w:basedOn w:val="a0"/>
    <w:link w:val="a5"/>
    <w:uiPriority w:val="99"/>
    <w:rsid w:val="00F1320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1320B"/>
    <w:rPr>
      <w:rFonts w:ascii="Tahoma" w:hAnsi="Tahoma" w:cs="Tahoma"/>
      <w:sz w:val="16"/>
      <w:szCs w:val="16"/>
    </w:rPr>
  </w:style>
  <w:style w:type="character" w:customStyle="1" w:styleId="a8">
    <w:name w:val="Текст выноски Знак"/>
    <w:basedOn w:val="a0"/>
    <w:link w:val="a7"/>
    <w:uiPriority w:val="99"/>
    <w:semiHidden/>
    <w:rsid w:val="00F1320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531</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Банковские группы_01.07.12</dc:title>
  <dc:creator>Людмила Овчарова</dc:creator>
  <cp:keywords>банковские группы</cp:keywords>
  <cp:lastModifiedBy>Людмила Овчарова</cp:lastModifiedBy>
  <cp:revision>2</cp:revision>
  <dcterms:created xsi:type="dcterms:W3CDTF">2012-12-12T10:05:00Z</dcterms:created>
  <dcterms:modified xsi:type="dcterms:W3CDTF">2012-12-12T10:37:00Z</dcterms:modified>
</cp:coreProperties>
</file>